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7BC14" w14:textId="77777777" w:rsidR="00B40807" w:rsidRPr="00033F81" w:rsidRDefault="00033F81" w:rsidP="00033F81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033F81">
        <w:rPr>
          <w:rFonts w:asciiTheme="minorHAnsi" w:hAnsiTheme="minorHAnsi"/>
          <w:b/>
          <w:bCs/>
          <w:sz w:val="28"/>
          <w:szCs w:val="28"/>
          <w:u w:val="single"/>
        </w:rPr>
        <w:t>Detailed Outline of GUID on Information Technology Audit (Project 2.8 of SDP)</w:t>
      </w:r>
    </w:p>
    <w:p w14:paraId="4D370D21" w14:textId="77777777" w:rsidR="00033F81" w:rsidRPr="00033F81" w:rsidRDefault="00033F81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tbl>
      <w:tblPr>
        <w:tblStyle w:val="GridTable7Colorful-Accent11"/>
        <w:tblW w:w="9195" w:type="dxa"/>
        <w:tblLayout w:type="fixed"/>
        <w:tblLook w:val="0600" w:firstRow="0" w:lastRow="0" w:firstColumn="0" w:lastColumn="0" w:noHBand="1" w:noVBand="1"/>
      </w:tblPr>
      <w:tblGrid>
        <w:gridCol w:w="1185"/>
        <w:gridCol w:w="4310"/>
        <w:gridCol w:w="3700"/>
      </w:tblGrid>
      <w:tr w:rsidR="00B40807" w:rsidRPr="003B1B6E" w14:paraId="4A1A40A9" w14:textId="77777777" w:rsidTr="00BA468E">
        <w:tc>
          <w:tcPr>
            <w:tcW w:w="1185" w:type="dxa"/>
          </w:tcPr>
          <w:p w14:paraId="53FF77DD" w14:textId="77777777" w:rsidR="00B40807" w:rsidRPr="003B1B6E" w:rsidRDefault="003B1B6E">
            <w:pPr>
              <w:widowControl w:val="0"/>
              <w:ind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4310" w:type="dxa"/>
          </w:tcPr>
          <w:p w14:paraId="0AA64110" w14:textId="77777777" w:rsidR="00B40807" w:rsidRPr="00695D7D" w:rsidRDefault="00A67CA4">
            <w:pPr>
              <w:widowControl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5D7D">
              <w:rPr>
                <w:rFonts w:asciiTheme="minorHAnsi" w:hAnsiTheme="minorHAnsi"/>
                <w:b/>
                <w:bCs/>
                <w:sz w:val="24"/>
                <w:szCs w:val="24"/>
              </w:rPr>
              <w:t>List of content</w:t>
            </w:r>
            <w:r w:rsidR="003B1B6E" w:rsidRPr="00695D7D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="00695D7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of the proposed GUID</w:t>
            </w:r>
          </w:p>
        </w:tc>
        <w:tc>
          <w:tcPr>
            <w:tcW w:w="3700" w:type="dxa"/>
          </w:tcPr>
          <w:p w14:paraId="271ACC3E" w14:textId="77777777" w:rsidR="00B40807" w:rsidRPr="00695D7D" w:rsidRDefault="00A67CA4">
            <w:pPr>
              <w:widowControl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5D7D">
              <w:rPr>
                <w:rFonts w:asciiTheme="minorHAnsi" w:hAnsiTheme="minorHAnsi"/>
                <w:b/>
                <w:bCs/>
                <w:sz w:val="24"/>
                <w:szCs w:val="24"/>
              </w:rPr>
              <w:t>Explanation</w:t>
            </w:r>
            <w:r w:rsidR="003B1B6E" w:rsidRPr="00695D7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of </w:t>
            </w:r>
            <w:r w:rsidR="00033F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</w:t>
            </w:r>
            <w:r w:rsidR="003B1B6E" w:rsidRPr="00695D7D">
              <w:rPr>
                <w:rFonts w:asciiTheme="minorHAnsi" w:hAnsiTheme="minorHAnsi"/>
                <w:b/>
                <w:bCs/>
                <w:sz w:val="24"/>
                <w:szCs w:val="24"/>
              </w:rPr>
              <w:t>intended inclusion of material</w:t>
            </w:r>
          </w:p>
        </w:tc>
      </w:tr>
      <w:tr w:rsidR="00B40807" w:rsidRPr="003B1B6E" w14:paraId="2B062C7E" w14:textId="77777777" w:rsidTr="00BA468E">
        <w:tc>
          <w:tcPr>
            <w:tcW w:w="1185" w:type="dxa"/>
          </w:tcPr>
          <w:p w14:paraId="6C2F80F0" w14:textId="77777777" w:rsidR="00B40807" w:rsidRPr="003B1B6E" w:rsidRDefault="00A67CA4">
            <w:pPr>
              <w:widowControl w:val="0"/>
              <w:ind w:left="450" w:right="-120" w:hanging="27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14:paraId="75726674" w14:textId="77777777" w:rsidR="00B40807" w:rsidRPr="003B1B6E" w:rsidRDefault="00A67CA4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Framework for IT Audit</w:t>
            </w:r>
          </w:p>
          <w:p w14:paraId="40D1664E" w14:textId="77777777" w:rsidR="00B40807" w:rsidRPr="003B1B6E" w:rsidRDefault="00B40807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3C4E830C" w14:textId="77777777" w:rsidR="00B40807" w:rsidRPr="003B1B6E" w:rsidRDefault="003B1B6E" w:rsidP="00050E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This section would explain the positioning of </w:t>
            </w:r>
            <w:r w:rsidR="00A67CA4" w:rsidRPr="003B1B6E">
              <w:rPr>
                <w:rFonts w:asciiTheme="minorHAnsi" w:hAnsiTheme="minorHAnsi"/>
                <w:sz w:val="24"/>
                <w:szCs w:val="24"/>
              </w:rPr>
              <w:t xml:space="preserve">GUID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on IT Audit</w:t>
            </w:r>
            <w:r w:rsidR="00A67CA4" w:rsidRPr="003B1B6E">
              <w:rPr>
                <w:rFonts w:asciiTheme="minorHAnsi" w:hAnsiTheme="minorHAnsi"/>
                <w:sz w:val="24"/>
                <w:szCs w:val="24"/>
              </w:rPr>
              <w:t xml:space="preserve"> within the framework of INTOSAI pronouncements</w:t>
            </w:r>
            <w:r w:rsidR="00050ED8">
              <w:rPr>
                <w:rFonts w:asciiTheme="minorHAnsi" w:hAnsiTheme="minorHAnsi"/>
                <w:sz w:val="24"/>
                <w:szCs w:val="24"/>
              </w:rPr>
              <w:t xml:space="preserve">, and its consistency with </w:t>
            </w:r>
            <w:r w:rsidR="00050ED8" w:rsidRPr="003B1B6E">
              <w:rPr>
                <w:rFonts w:asciiTheme="minorHAnsi" w:hAnsiTheme="minorHAnsi"/>
                <w:sz w:val="24"/>
                <w:szCs w:val="24"/>
              </w:rPr>
              <w:t>the Fundamental Principles of Public Sector Auditing (ISSAI 100) and other high level ISSAIs wherever applicable.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863F7">
              <w:rPr>
                <w:rFonts w:asciiTheme="minorHAnsi" w:hAnsiTheme="minorHAnsi"/>
                <w:sz w:val="24"/>
                <w:szCs w:val="24"/>
              </w:rPr>
              <w:t>IT Audit would be defined in this section.</w:t>
            </w:r>
          </w:p>
        </w:tc>
      </w:tr>
      <w:tr w:rsidR="006D546E" w:rsidRPr="003B1B6E" w14:paraId="41A9C916" w14:textId="77777777" w:rsidTr="00BA468E">
        <w:tc>
          <w:tcPr>
            <w:tcW w:w="1185" w:type="dxa"/>
          </w:tcPr>
          <w:p w14:paraId="26E59C0A" w14:textId="77777777" w:rsidR="006D546E" w:rsidRPr="006D546E" w:rsidRDefault="006D546E" w:rsidP="006D546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D546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14:paraId="51A0034C" w14:textId="77777777" w:rsidR="006D546E" w:rsidRPr="006D546E" w:rsidRDefault="006D546E" w:rsidP="006D546E">
            <w:pPr>
              <w:ind w:left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D546E">
              <w:rPr>
                <w:rFonts w:asciiTheme="minorHAnsi" w:hAnsiTheme="minorHAnsi"/>
                <w:sz w:val="24"/>
                <w:szCs w:val="24"/>
              </w:rPr>
              <w:t>Emerging Trends in IT</w:t>
            </w:r>
          </w:p>
          <w:p w14:paraId="02AB6862" w14:textId="77777777" w:rsidR="006D546E" w:rsidRPr="006D546E" w:rsidRDefault="006D546E" w:rsidP="006D546E">
            <w:pPr>
              <w:ind w:left="1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04D02F0D" w14:textId="77777777" w:rsidR="006D546E" w:rsidRPr="006D546E" w:rsidRDefault="006D546E" w:rsidP="006D546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This section is proposed to be removed </w:t>
            </w:r>
            <w:r w:rsidRPr="006D546E">
              <w:rPr>
                <w:rFonts w:asciiTheme="minorHAnsi" w:hAnsiTheme="minorHAnsi"/>
                <w:sz w:val="24"/>
                <w:szCs w:val="24"/>
              </w:rPr>
              <w:t>in view of preparing a durable pronouncement document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due to rapidly changing technology in computing. Further, all emerging areas are covered in detail in </w:t>
            </w:r>
            <w:r w:rsidRPr="006D546E">
              <w:rPr>
                <w:rFonts w:asciiTheme="minorHAnsi" w:hAnsiTheme="minorHAnsi"/>
                <w:sz w:val="24"/>
                <w:szCs w:val="24"/>
              </w:rPr>
              <w:t>the Handbook on IT Audit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62FAD" w:rsidRPr="003B1B6E" w14:paraId="34A8D2AC" w14:textId="77777777" w:rsidTr="00BA468E">
        <w:tc>
          <w:tcPr>
            <w:tcW w:w="1185" w:type="dxa"/>
          </w:tcPr>
          <w:p w14:paraId="299426C7" w14:textId="77777777" w:rsidR="00F62FAD" w:rsidRPr="006D546E" w:rsidRDefault="00F62FAD" w:rsidP="006D546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(new)</w:t>
            </w:r>
          </w:p>
        </w:tc>
        <w:tc>
          <w:tcPr>
            <w:tcW w:w="4310" w:type="dxa"/>
          </w:tcPr>
          <w:p w14:paraId="33A06A06" w14:textId="4C640027" w:rsidR="00F62FAD" w:rsidRPr="006D546E" w:rsidRDefault="00F62FAD" w:rsidP="00A72522">
            <w:pPr>
              <w:ind w:left="18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Introduction</w:t>
            </w:r>
            <w:r w:rsidR="00102923">
              <w:rPr>
                <w:rFonts w:asciiTheme="minorHAnsi" w:hAnsiTheme="minorHAnsi"/>
                <w:sz w:val="24"/>
                <w:szCs w:val="24"/>
              </w:rPr>
              <w:t xml:space="preserve"> 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72522">
              <w:rPr>
                <w:rFonts w:asciiTheme="minorHAnsi" w:hAnsiTheme="minorHAnsi"/>
                <w:sz w:val="24"/>
                <w:szCs w:val="24"/>
              </w:rPr>
              <w:t>and Objectives of IT Audit</w:t>
            </w:r>
          </w:p>
        </w:tc>
        <w:tc>
          <w:tcPr>
            <w:tcW w:w="3700" w:type="dxa"/>
          </w:tcPr>
          <w:p w14:paraId="053A9D15" w14:textId="68FE9F6C" w:rsidR="00F62FAD" w:rsidRDefault="009E12E3" w:rsidP="00294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 this section, 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definitions and introduction to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concepts 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related to IT Audit, such as </w:t>
            </w:r>
            <w:r>
              <w:rPr>
                <w:rFonts w:asciiTheme="minorHAnsi" w:hAnsiTheme="minorHAnsi"/>
                <w:sz w:val="24"/>
                <w:szCs w:val="24"/>
              </w:rPr>
              <w:t>Information Systems, use of technology</w:t>
            </w:r>
            <w:r w:rsidR="00D5451F">
              <w:rPr>
                <w:rFonts w:asciiTheme="minorHAnsi" w:hAnsiTheme="minorHAnsi"/>
                <w:sz w:val="24"/>
                <w:szCs w:val="24"/>
              </w:rPr>
              <w:t xml:space="preserve"> in Information Systems,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types </w:t>
            </w:r>
            <w:r w:rsidR="00D5451F">
              <w:rPr>
                <w:rFonts w:asciiTheme="minorHAnsi" w:hAnsiTheme="minorHAnsi"/>
                <w:sz w:val="24"/>
                <w:szCs w:val="24"/>
              </w:rPr>
              <w:t>of Information Systems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 shall be included. This section shall also</w:t>
            </w:r>
            <w:r w:rsidR="00A72522" w:rsidRPr="007B05C5">
              <w:rPr>
                <w:rFonts w:asciiTheme="minorHAnsi" w:hAnsiTheme="minorHAnsi"/>
                <w:color w:val="3D3D3D"/>
                <w:sz w:val="24"/>
                <w:szCs w:val="24"/>
                <w:highlight w:val="white"/>
              </w:rPr>
              <w:t xml:space="preserve"> explain the process of identification of </w:t>
            </w:r>
            <w:r w:rsidR="00A72522">
              <w:rPr>
                <w:rFonts w:asciiTheme="minorHAnsi" w:hAnsiTheme="minorHAnsi"/>
                <w:color w:val="3D3D3D"/>
                <w:sz w:val="24"/>
                <w:szCs w:val="24"/>
                <w:highlight w:val="white"/>
              </w:rPr>
              <w:t xml:space="preserve">IT </w:t>
            </w:r>
            <w:r w:rsidR="00A72522" w:rsidRPr="007B05C5">
              <w:rPr>
                <w:rFonts w:asciiTheme="minorHAnsi" w:hAnsiTheme="minorHAnsi"/>
                <w:color w:val="3D3D3D"/>
                <w:sz w:val="24"/>
                <w:szCs w:val="24"/>
                <w:highlight w:val="white"/>
              </w:rPr>
              <w:t>Audit Objectives across domains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 such as </w:t>
            </w:r>
            <w:r w:rsidR="00A72522" w:rsidRPr="00A72522">
              <w:rPr>
                <w:rFonts w:asciiTheme="minorHAnsi" w:hAnsiTheme="minorHAnsi"/>
                <w:sz w:val="24"/>
                <w:szCs w:val="24"/>
              </w:rPr>
              <w:t>IT Governance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A72522" w:rsidRPr="00A72522">
              <w:rPr>
                <w:rFonts w:asciiTheme="minorHAnsi" w:hAnsiTheme="minorHAnsi"/>
                <w:sz w:val="24"/>
                <w:szCs w:val="24"/>
              </w:rPr>
              <w:t xml:space="preserve">Development 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A72522" w:rsidRPr="00A72522">
              <w:rPr>
                <w:rFonts w:asciiTheme="minorHAnsi" w:hAnsiTheme="minorHAnsi"/>
                <w:sz w:val="24"/>
                <w:szCs w:val="24"/>
              </w:rPr>
              <w:t xml:space="preserve">Acquisition 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of Information Systems, </w:t>
            </w:r>
            <w:r w:rsidR="00A72522" w:rsidRPr="00A72522">
              <w:rPr>
                <w:rFonts w:asciiTheme="minorHAnsi" w:hAnsiTheme="minorHAnsi"/>
                <w:sz w:val="24"/>
                <w:szCs w:val="24"/>
              </w:rPr>
              <w:t>IT Operations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A72522" w:rsidRPr="00A72522">
              <w:rPr>
                <w:rFonts w:asciiTheme="minorHAnsi" w:hAnsiTheme="minorHAnsi"/>
                <w:sz w:val="24"/>
                <w:szCs w:val="24"/>
              </w:rPr>
              <w:t>Outsourcing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A72522" w:rsidRPr="00A72522">
              <w:rPr>
                <w:rFonts w:asciiTheme="minorHAnsi" w:hAnsiTheme="minorHAnsi"/>
                <w:sz w:val="24"/>
                <w:szCs w:val="24"/>
              </w:rPr>
              <w:t>B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usiness </w:t>
            </w:r>
            <w:r w:rsidR="00A72522" w:rsidRPr="00A72522">
              <w:rPr>
                <w:rFonts w:asciiTheme="minorHAnsi" w:hAnsiTheme="minorHAnsi"/>
                <w:sz w:val="24"/>
                <w:szCs w:val="24"/>
              </w:rPr>
              <w:t>C</w:t>
            </w:r>
            <w:r w:rsidR="00A72522">
              <w:rPr>
                <w:rFonts w:asciiTheme="minorHAnsi" w:hAnsiTheme="minorHAnsi"/>
                <w:sz w:val="24"/>
                <w:szCs w:val="24"/>
              </w:rPr>
              <w:t>ontinuity and Disaster Recovery Management,</w:t>
            </w:r>
            <w:r w:rsidR="00A72522" w:rsidRPr="00A72522">
              <w:rPr>
                <w:rFonts w:asciiTheme="minorHAnsi" w:hAnsiTheme="minorHAnsi"/>
                <w:sz w:val="24"/>
                <w:szCs w:val="24"/>
              </w:rPr>
              <w:t xml:space="preserve"> Information </w:t>
            </w:r>
            <w:r w:rsidR="00A72522">
              <w:rPr>
                <w:rFonts w:asciiTheme="minorHAnsi" w:hAnsiTheme="minorHAnsi"/>
                <w:sz w:val="24"/>
                <w:szCs w:val="24"/>
              </w:rPr>
              <w:t xml:space="preserve">System </w:t>
            </w:r>
            <w:r w:rsidR="00A72522" w:rsidRPr="00A72522">
              <w:rPr>
                <w:rFonts w:asciiTheme="minorHAnsi" w:hAnsiTheme="minorHAnsi"/>
                <w:sz w:val="24"/>
                <w:szCs w:val="24"/>
              </w:rPr>
              <w:t>Security</w:t>
            </w:r>
            <w:r w:rsidR="00C457AF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A72522" w:rsidRPr="00A72522">
              <w:rPr>
                <w:rFonts w:asciiTheme="minorHAnsi" w:hAnsiTheme="minorHAnsi"/>
                <w:sz w:val="24"/>
                <w:szCs w:val="24"/>
              </w:rPr>
              <w:t>Applications Controls</w:t>
            </w:r>
            <w:r w:rsidR="00C457AF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6D546E" w:rsidRPr="003B1B6E" w14:paraId="6AD14546" w14:textId="77777777" w:rsidTr="00BA468E">
        <w:tc>
          <w:tcPr>
            <w:tcW w:w="1185" w:type="dxa"/>
          </w:tcPr>
          <w:p w14:paraId="4BA6D21F" w14:textId="77777777" w:rsidR="006D546E" w:rsidRPr="003B1B6E" w:rsidRDefault="0052257A" w:rsidP="006D546E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3</w:t>
            </w:r>
          </w:p>
        </w:tc>
        <w:tc>
          <w:tcPr>
            <w:tcW w:w="4310" w:type="dxa"/>
          </w:tcPr>
          <w:p w14:paraId="59D7CD98" w14:textId="77777777" w:rsidR="006D546E" w:rsidRPr="003B1B6E" w:rsidRDefault="006D546E" w:rsidP="006D546E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·How IT Audit is related to the three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recognized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types of Audit</w:t>
            </w:r>
          </w:p>
          <w:p w14:paraId="46F7345C" w14:textId="77777777" w:rsidR="006D546E" w:rsidRPr="003B1B6E" w:rsidRDefault="006D546E" w:rsidP="006D546E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14A075BB" w14:textId="77777777" w:rsidR="006D546E" w:rsidRPr="003B1B6E" w:rsidRDefault="006D546E" w:rsidP="006D546E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This section will explain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 basic premise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that an IT Audit assignment may be classified as either a Compliance Audit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Financial Audit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or as a Performance Audit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D546E" w:rsidRPr="003B1B6E" w14:paraId="37D0C3BD" w14:textId="77777777" w:rsidTr="00BA468E">
        <w:tc>
          <w:tcPr>
            <w:tcW w:w="1185" w:type="dxa"/>
          </w:tcPr>
          <w:p w14:paraId="795B6D10" w14:textId="77777777" w:rsidR="006D546E" w:rsidRPr="003B1B6E" w:rsidRDefault="0052257A" w:rsidP="006D546E">
            <w:pPr>
              <w:widowControl w:val="0"/>
              <w:ind w:left="18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310" w:type="dxa"/>
          </w:tcPr>
          <w:p w14:paraId="4373E889" w14:textId="77777777" w:rsidR="006D546E" w:rsidRPr="003B1B6E" w:rsidRDefault="006D546E" w:rsidP="006D546E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>·Capacity of SAIs</w:t>
            </w:r>
            <w:r w:rsidR="0052257A">
              <w:rPr>
                <w:rFonts w:asciiTheme="minorHAnsi" w:hAnsiTheme="minorHAnsi"/>
                <w:sz w:val="24"/>
                <w:szCs w:val="24"/>
              </w:rPr>
              <w:t xml:space="preserve"> in taking up IT Audits</w:t>
            </w:r>
          </w:p>
          <w:p w14:paraId="50ACB4FF" w14:textId="77777777" w:rsidR="006D546E" w:rsidRPr="003B1B6E" w:rsidRDefault="006D546E" w:rsidP="006D546E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0CA883B1" w14:textId="77777777" w:rsidR="006D546E" w:rsidRPr="003B1B6E" w:rsidRDefault="006D546E" w:rsidP="006D546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>This section shall explain the core requirements in terms of capacity</w:t>
            </w:r>
            <w:r w:rsidR="00516606">
              <w:rPr>
                <w:rFonts w:asciiTheme="minorHAnsi" w:hAnsiTheme="minorHAnsi"/>
                <w:sz w:val="24"/>
                <w:szCs w:val="24"/>
              </w:rPr>
              <w:t xml:space="preserve"> and competence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of SAI </w:t>
            </w:r>
            <w:r w:rsidR="00516606">
              <w:rPr>
                <w:rFonts w:asciiTheme="minorHAnsi" w:hAnsiTheme="minorHAnsi"/>
                <w:sz w:val="24"/>
                <w:szCs w:val="24"/>
              </w:rPr>
              <w:t xml:space="preserve">IT Audit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teams in taking up IT Audits, such as staff skill sets, understanding of entity, IT environment, </w:t>
            </w:r>
            <w:r w:rsidRPr="003B1B6E">
              <w:rPr>
                <w:rFonts w:asciiTheme="minorHAnsi" w:eastAsia="Times New Roman" w:hAnsiTheme="minorHAnsi" w:cs="Times New Roman"/>
                <w:sz w:val="24"/>
                <w:szCs w:val="24"/>
              </w:rPr>
              <w:t>u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nderstanding of the IT Audit standards/ guidelines applicable to the SAI, IT Audit Tools and IT Infrastructure to capture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and preserve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audit evidence.</w:t>
            </w:r>
          </w:p>
        </w:tc>
      </w:tr>
      <w:tr w:rsidR="0052257A" w:rsidRPr="003B1B6E" w14:paraId="1BBFE784" w14:textId="77777777" w:rsidTr="00BA468E">
        <w:tc>
          <w:tcPr>
            <w:tcW w:w="1185" w:type="dxa"/>
          </w:tcPr>
          <w:p w14:paraId="5EF20A77" w14:textId="77777777" w:rsidR="0052257A" w:rsidRPr="0052257A" w:rsidRDefault="0052257A" w:rsidP="0052257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10" w:type="dxa"/>
          </w:tcPr>
          <w:p w14:paraId="06886B26" w14:textId="77777777" w:rsidR="0052257A" w:rsidRPr="0052257A" w:rsidRDefault="0052257A" w:rsidP="0052257A">
            <w:pPr>
              <w:ind w:left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257A">
              <w:rPr>
                <w:rFonts w:asciiTheme="minorHAnsi" w:hAnsiTheme="minorHAnsi"/>
                <w:sz w:val="24"/>
                <w:szCs w:val="24"/>
              </w:rPr>
              <w:t xml:space="preserve">  Practical issues that SAIs may face while auditing in IT environment</w:t>
            </w:r>
          </w:p>
          <w:p w14:paraId="3A834435" w14:textId="77777777" w:rsidR="0052257A" w:rsidRPr="0052257A" w:rsidRDefault="0052257A" w:rsidP="0052257A">
            <w:pPr>
              <w:ind w:left="1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58DC6FF5" w14:textId="77777777" w:rsidR="0052257A" w:rsidRPr="0052257A" w:rsidRDefault="0052257A" w:rsidP="0052257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257A">
              <w:rPr>
                <w:rFonts w:asciiTheme="minorHAnsi" w:hAnsiTheme="minorHAnsi"/>
                <w:sz w:val="24"/>
                <w:szCs w:val="24"/>
              </w:rPr>
              <w:t xml:space="preserve">This section shall explain constraints that may arise related to capacity of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SAIs in terms of HR, and other technological </w:t>
            </w:r>
            <w:r w:rsidRPr="0052257A">
              <w:rPr>
                <w:rFonts w:asciiTheme="minorHAnsi" w:hAnsiTheme="minorHAnsi"/>
                <w:sz w:val="24"/>
                <w:szCs w:val="24"/>
              </w:rPr>
              <w:t>challenges in executing an audit in an unfamiliar IT environment.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It will also focus upon capacity building for acquiring n</w:t>
            </w:r>
            <w:r w:rsidRPr="0052257A">
              <w:rPr>
                <w:rFonts w:asciiTheme="minorHAnsi" w:hAnsiTheme="minorHAnsi"/>
                <w:sz w:val="24"/>
                <w:szCs w:val="24"/>
              </w:rPr>
              <w:t>ecessary knowledge, skills and competence to be acquired through a combination of training, recruitment and engagement of external resources, depending on the act</w:t>
            </w:r>
            <w:r>
              <w:rPr>
                <w:rFonts w:asciiTheme="minorHAnsi" w:hAnsiTheme="minorHAnsi"/>
                <w:sz w:val="24"/>
                <w:szCs w:val="24"/>
              </w:rPr>
              <w:t>ual IT environment at the audit</w:t>
            </w:r>
            <w:r w:rsidRPr="0052257A">
              <w:rPr>
                <w:rFonts w:asciiTheme="minorHAnsi" w:hAnsiTheme="minorHAnsi"/>
                <w:sz w:val="24"/>
                <w:szCs w:val="24"/>
              </w:rPr>
              <w:t xml:space="preserve"> entity. </w:t>
            </w:r>
          </w:p>
        </w:tc>
      </w:tr>
      <w:tr w:rsidR="0052257A" w:rsidRPr="003B1B6E" w14:paraId="09B75265" w14:textId="77777777" w:rsidTr="00BA468E">
        <w:tc>
          <w:tcPr>
            <w:tcW w:w="1185" w:type="dxa"/>
          </w:tcPr>
          <w:p w14:paraId="2C2180CE" w14:textId="77777777" w:rsidR="0052257A" w:rsidRPr="003B1B6E" w:rsidRDefault="0052257A" w:rsidP="0052257A">
            <w:pPr>
              <w:widowControl w:val="0"/>
              <w:ind w:firstLine="18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10" w:type="dxa"/>
          </w:tcPr>
          <w:p w14:paraId="1C572E1D" w14:textId="77777777" w:rsidR="0052257A" w:rsidRPr="003B1B6E" w:rsidRDefault="0052257A" w:rsidP="0052257A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>·Applying the general principles of public sector audit to IT audit</w:t>
            </w:r>
          </w:p>
          <w:p w14:paraId="5790C8C1" w14:textId="77777777" w:rsidR="0052257A" w:rsidRPr="003B1B6E" w:rsidRDefault="0052257A" w:rsidP="0052257A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6872731F" w14:textId="77777777" w:rsidR="0052257A" w:rsidRPr="003B1B6E" w:rsidRDefault="0052257A" w:rsidP="0052257A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This section would link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IT Audit process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to the general principles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of audit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laid down in ISSAI 100.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section would define concepts of risk based approach in IT Audit, materiality, </w:t>
            </w:r>
            <w:r w:rsidR="00516606">
              <w:rPr>
                <w:rFonts w:asciiTheme="minorHAnsi" w:hAnsiTheme="minorHAnsi"/>
                <w:sz w:val="24"/>
                <w:szCs w:val="24"/>
              </w:rPr>
              <w:t>etc.</w:t>
            </w:r>
          </w:p>
        </w:tc>
      </w:tr>
      <w:tr w:rsidR="0052257A" w:rsidRPr="003B1B6E" w14:paraId="4B72F870" w14:textId="77777777" w:rsidTr="00BA468E">
        <w:tc>
          <w:tcPr>
            <w:tcW w:w="1185" w:type="dxa"/>
          </w:tcPr>
          <w:p w14:paraId="58E08FE8" w14:textId="77777777" w:rsidR="0052257A" w:rsidRPr="003B1B6E" w:rsidRDefault="0052257A" w:rsidP="0052257A">
            <w:pPr>
              <w:widowControl w:val="0"/>
              <w:ind w:firstLine="18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10" w:type="dxa"/>
          </w:tcPr>
          <w:p w14:paraId="39FD9F5B" w14:textId="77777777" w:rsidR="0052257A" w:rsidRPr="003B1B6E" w:rsidRDefault="0052257A" w:rsidP="0052257A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  Explanation of IT Audits</w:t>
            </w:r>
          </w:p>
        </w:tc>
        <w:tc>
          <w:tcPr>
            <w:tcW w:w="3700" w:type="dxa"/>
          </w:tcPr>
          <w:p w14:paraId="51D74B5C" w14:textId="20BD1933" w:rsidR="0052257A" w:rsidRPr="003B1B6E" w:rsidRDefault="0052257A" w:rsidP="0052257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This section shall provide a brief introduction of what an IT Audit </w:t>
            </w:r>
            <w:r w:rsidR="0009571E" w:rsidRPr="003B1B6E">
              <w:rPr>
                <w:rFonts w:asciiTheme="minorHAnsi" w:hAnsiTheme="minorHAnsi"/>
                <w:sz w:val="24"/>
                <w:szCs w:val="24"/>
              </w:rPr>
              <w:t>entails</w:t>
            </w:r>
            <w:r w:rsidR="0009571E">
              <w:rPr>
                <w:rFonts w:asciiTheme="minorHAnsi" w:hAnsiTheme="minorHAnsi"/>
                <w:sz w:val="24"/>
                <w:szCs w:val="24"/>
              </w:rPr>
              <w:t>. Subsequent</w:t>
            </w:r>
            <w:r w:rsidR="00AB29CD">
              <w:rPr>
                <w:rFonts w:asciiTheme="minorHAnsi" w:hAnsiTheme="minorHAnsi"/>
                <w:sz w:val="24"/>
                <w:szCs w:val="24"/>
              </w:rPr>
              <w:t xml:space="preserve"> sections 8, 9, 10 and 11 detail the IT Audit Process.</w:t>
            </w:r>
          </w:p>
        </w:tc>
      </w:tr>
      <w:tr w:rsidR="00516606" w:rsidRPr="003B1B6E" w14:paraId="4E01019F" w14:textId="77777777" w:rsidTr="00BA468E">
        <w:tc>
          <w:tcPr>
            <w:tcW w:w="1185" w:type="dxa"/>
          </w:tcPr>
          <w:p w14:paraId="14B1CFBC" w14:textId="77777777" w:rsidR="00516606" w:rsidRPr="003B1B6E" w:rsidRDefault="00516606" w:rsidP="00516606">
            <w:pPr>
              <w:widowControl w:val="0"/>
              <w:ind w:firstLine="18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10" w:type="dxa"/>
          </w:tcPr>
          <w:p w14:paraId="047B1A1F" w14:textId="31859CD8" w:rsidR="00516606" w:rsidRPr="003B1B6E" w:rsidRDefault="00516606" w:rsidP="00516606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  Risk </w:t>
            </w:r>
            <w:r w:rsidR="0009571E">
              <w:rPr>
                <w:rFonts w:asciiTheme="minorHAnsi" w:hAnsiTheme="minorHAnsi"/>
                <w:sz w:val="24"/>
                <w:szCs w:val="24"/>
              </w:rPr>
              <w:t xml:space="preserve">Based </w:t>
            </w:r>
            <w:r w:rsidR="0009571E" w:rsidRPr="003B1B6E">
              <w:rPr>
                <w:rFonts w:asciiTheme="minorHAnsi" w:hAnsiTheme="minorHAnsi"/>
                <w:sz w:val="24"/>
                <w:szCs w:val="24"/>
              </w:rPr>
              <w:t>Approach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for conducting I</w:t>
            </w:r>
            <w:r w:rsidR="00AB29CD">
              <w:rPr>
                <w:rFonts w:asciiTheme="minorHAnsi" w:hAnsiTheme="minorHAnsi"/>
                <w:sz w:val="24"/>
                <w:szCs w:val="24"/>
              </w:rPr>
              <w:t>T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Audit</w:t>
            </w:r>
          </w:p>
        </w:tc>
        <w:tc>
          <w:tcPr>
            <w:tcW w:w="3700" w:type="dxa"/>
          </w:tcPr>
          <w:p w14:paraId="01A5BAEF" w14:textId="6DDEDD90" w:rsidR="00516606" w:rsidRPr="003B1B6E" w:rsidRDefault="00516606" w:rsidP="00516606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This section shall explain </w:t>
            </w:r>
            <w:r w:rsidR="0009571E">
              <w:rPr>
                <w:rFonts w:asciiTheme="minorHAnsi" w:hAnsiTheme="minorHAnsi"/>
                <w:sz w:val="24"/>
                <w:szCs w:val="24"/>
              </w:rPr>
              <w:t>how a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risk </w:t>
            </w:r>
            <w:r>
              <w:rPr>
                <w:rFonts w:asciiTheme="minorHAnsi" w:hAnsiTheme="minorHAnsi"/>
                <w:sz w:val="24"/>
                <w:szCs w:val="24"/>
              </w:rPr>
              <w:t>based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approach </w:t>
            </w:r>
            <w:r>
              <w:rPr>
                <w:rFonts w:asciiTheme="minorHAnsi" w:hAnsiTheme="minorHAnsi"/>
                <w:sz w:val="24"/>
                <w:szCs w:val="24"/>
              </w:rPr>
              <w:t>in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an IT Audit assignment would follow the generic principles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meant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for any Compliance Audit</w:t>
            </w:r>
            <w:r w:rsidR="00F62FAD">
              <w:rPr>
                <w:rFonts w:asciiTheme="minorHAnsi" w:hAnsiTheme="minorHAnsi"/>
                <w:sz w:val="24"/>
                <w:szCs w:val="24"/>
              </w:rPr>
              <w:t>, Financial Audit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or Performance Audit assignment,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lastRenderedPageBreak/>
              <w:t>as laid down in ISSAI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100, 200, 300 and 400.</w:t>
            </w:r>
          </w:p>
        </w:tc>
      </w:tr>
      <w:tr w:rsidR="00516606" w:rsidRPr="003B1B6E" w14:paraId="29FD95FE" w14:textId="77777777" w:rsidTr="00BA468E">
        <w:trPr>
          <w:trHeight w:val="820"/>
        </w:trPr>
        <w:tc>
          <w:tcPr>
            <w:tcW w:w="1185" w:type="dxa"/>
          </w:tcPr>
          <w:p w14:paraId="17A7FD58" w14:textId="77777777" w:rsidR="00516606" w:rsidRPr="003B1B6E" w:rsidRDefault="00516606" w:rsidP="00516606">
            <w:pPr>
              <w:widowControl w:val="0"/>
              <w:ind w:firstLine="18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4310" w:type="dxa"/>
          </w:tcPr>
          <w:p w14:paraId="22AEC9F9" w14:textId="77777777" w:rsidR="00516606" w:rsidRPr="003B1B6E" w:rsidRDefault="00516606" w:rsidP="00516606">
            <w:pPr>
              <w:widowControl w:val="0"/>
              <w:ind w:left="1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>Outlining the IT Audit process</w:t>
            </w:r>
          </w:p>
        </w:tc>
        <w:tc>
          <w:tcPr>
            <w:tcW w:w="3700" w:type="dxa"/>
          </w:tcPr>
          <w:p w14:paraId="2687275B" w14:textId="77777777" w:rsidR="00516606" w:rsidRPr="003B1B6E" w:rsidRDefault="00516606" w:rsidP="00516606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This section shall explain that the Audit process for an IT Audit assignment would follow the generic principles as laid down in ISSAI 100 for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different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stages in any Audit process, such as risk analysis, information gathering,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audit planning,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assessment of controls, sampling, substantive testing, supervision and review, documentation and reporting. </w:t>
            </w:r>
          </w:p>
        </w:tc>
      </w:tr>
      <w:tr w:rsidR="00516606" w:rsidRPr="003B1B6E" w14:paraId="468EE5BF" w14:textId="77777777" w:rsidTr="00BA468E">
        <w:tc>
          <w:tcPr>
            <w:tcW w:w="1185" w:type="dxa"/>
          </w:tcPr>
          <w:p w14:paraId="006FF324" w14:textId="77777777" w:rsidR="00516606" w:rsidRPr="003B1B6E" w:rsidRDefault="00516606" w:rsidP="00516606">
            <w:pPr>
              <w:widowControl w:val="0"/>
              <w:ind w:firstLine="9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310" w:type="dxa"/>
          </w:tcPr>
          <w:p w14:paraId="61CF5297" w14:textId="77777777" w:rsidR="00516606" w:rsidRPr="003B1B6E" w:rsidRDefault="00516606" w:rsidP="00516606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>Identifying/enumerating the techniques specific to conducting IT Audits</w:t>
            </w:r>
          </w:p>
        </w:tc>
        <w:tc>
          <w:tcPr>
            <w:tcW w:w="3700" w:type="dxa"/>
          </w:tcPr>
          <w:p w14:paraId="69A052A1" w14:textId="77777777" w:rsidR="00516606" w:rsidRPr="003B1B6E" w:rsidRDefault="00516606" w:rsidP="00516606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>The techniques specific to conducting IT Audits would be introduced in the guidance on the IT Audit Handbook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at an abstract level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16606" w:rsidRPr="003B1B6E" w14:paraId="5D3C60EF" w14:textId="77777777" w:rsidTr="00BA468E">
        <w:tc>
          <w:tcPr>
            <w:tcW w:w="1185" w:type="dxa"/>
          </w:tcPr>
          <w:p w14:paraId="7310A281" w14:textId="77777777" w:rsidR="00516606" w:rsidRPr="003B1B6E" w:rsidRDefault="00516606" w:rsidP="00516606">
            <w:pPr>
              <w:widowControl w:val="0"/>
              <w:ind w:left="90" w:right="-30" w:firstLine="9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310" w:type="dxa"/>
          </w:tcPr>
          <w:p w14:paraId="60373210" w14:textId="77777777" w:rsidR="00516606" w:rsidRPr="003B1B6E" w:rsidRDefault="00516606" w:rsidP="00516606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eastAsia="Times New Roman" w:hAnsiTheme="minorHAnsi" w:cs="Times New Roman"/>
                <w:sz w:val="24"/>
                <w:szCs w:val="24"/>
              </w:rPr>
              <w:t>Documentation requirements</w:t>
            </w:r>
          </w:p>
          <w:p w14:paraId="40886BC0" w14:textId="77777777" w:rsidR="00516606" w:rsidRPr="003B1B6E" w:rsidRDefault="00516606" w:rsidP="00516606">
            <w:pPr>
              <w:widowControl w:val="0"/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C9A79B8" w14:textId="77777777" w:rsidR="00516606" w:rsidRPr="003B1B6E" w:rsidRDefault="00516606" w:rsidP="005166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The overall documentation requirements in an IT Audit would essentially flow from </w:t>
            </w:r>
            <w:r w:rsidRPr="002943F7">
              <w:rPr>
                <w:rFonts w:asciiTheme="minorHAnsi" w:hAnsiTheme="minorHAnsi"/>
                <w:sz w:val="24"/>
                <w:szCs w:val="24"/>
              </w:rPr>
              <w:t>ISSAIs - ISSAIs 100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200, 300 and 400. The section will also detail any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specific adjustments to the documentation process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that may arise due to the intrinsic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 xml:space="preserve"> nature of IT Audits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16606" w:rsidRPr="003B1B6E" w14:paraId="7438B4FD" w14:textId="77777777" w:rsidTr="00BA468E">
        <w:tc>
          <w:tcPr>
            <w:tcW w:w="1185" w:type="dxa"/>
          </w:tcPr>
          <w:p w14:paraId="705F8989" w14:textId="77777777" w:rsidR="00516606" w:rsidRPr="003B1B6E" w:rsidRDefault="00516606" w:rsidP="00516606">
            <w:pPr>
              <w:widowControl w:val="0"/>
              <w:ind w:left="540" w:right="-3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310" w:type="dxa"/>
          </w:tcPr>
          <w:p w14:paraId="1C2C4F5F" w14:textId="77777777" w:rsidR="00516606" w:rsidRPr="003B1B6E" w:rsidRDefault="00516606" w:rsidP="00516606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eastAsia="Times New Roman" w:hAnsiTheme="minorHAnsi" w:cs="Times New Roman"/>
                <w:sz w:val="24"/>
                <w:szCs w:val="24"/>
              </w:rPr>
              <w:t>Reporting mechanism in IT Audit</w:t>
            </w:r>
          </w:p>
          <w:p w14:paraId="6AEDBA10" w14:textId="77777777" w:rsidR="00516606" w:rsidRPr="003B1B6E" w:rsidRDefault="00516606" w:rsidP="00516606">
            <w:pPr>
              <w:widowControl w:val="0"/>
              <w:ind w:left="108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3D07EDC0" w14:textId="77777777" w:rsidR="00516606" w:rsidRPr="003B1B6E" w:rsidRDefault="00516606" w:rsidP="00516606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 xml:space="preserve">This section will link the general reporting format and documentation of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an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Information Technology Audit, in line with ISSAI 100</w:t>
            </w:r>
          </w:p>
        </w:tc>
      </w:tr>
      <w:tr w:rsidR="00516606" w:rsidRPr="003B1B6E" w14:paraId="79AC3531" w14:textId="77777777" w:rsidTr="00BA468E">
        <w:tc>
          <w:tcPr>
            <w:tcW w:w="1185" w:type="dxa"/>
          </w:tcPr>
          <w:p w14:paraId="3E8450BC" w14:textId="77777777" w:rsidR="00516606" w:rsidRPr="003B1B6E" w:rsidRDefault="00516606" w:rsidP="00516606">
            <w:pPr>
              <w:widowControl w:val="0"/>
              <w:ind w:left="630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310" w:type="dxa"/>
          </w:tcPr>
          <w:p w14:paraId="751A1BD4" w14:textId="77777777" w:rsidR="00516606" w:rsidRPr="003B1B6E" w:rsidRDefault="00516606" w:rsidP="00516606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>Follow up of IT Audit</w:t>
            </w:r>
          </w:p>
        </w:tc>
        <w:tc>
          <w:tcPr>
            <w:tcW w:w="3700" w:type="dxa"/>
          </w:tcPr>
          <w:p w14:paraId="05AA8490" w14:textId="77777777" w:rsidR="00516606" w:rsidRPr="003B1B6E" w:rsidRDefault="00516606" w:rsidP="005166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1B6E">
              <w:rPr>
                <w:rFonts w:asciiTheme="minorHAnsi" w:hAnsiTheme="minorHAnsi"/>
                <w:sz w:val="24"/>
                <w:szCs w:val="24"/>
              </w:rPr>
              <w:t>SAIs have a role in monitoring action taken by the responsible party in respons</w:t>
            </w:r>
            <w:bookmarkStart w:id="0" w:name="_GoBack"/>
            <w:bookmarkEnd w:id="0"/>
            <w:r w:rsidRPr="003B1B6E">
              <w:rPr>
                <w:rFonts w:asciiTheme="minorHAnsi" w:hAnsiTheme="minorHAnsi"/>
                <w:sz w:val="24"/>
                <w:szCs w:val="24"/>
              </w:rPr>
              <w:t xml:space="preserve">e to the matters raised in an audit report.  Follow up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would focus </w:t>
            </w:r>
            <w:r w:rsidRPr="003B1B6E">
              <w:rPr>
                <w:rFonts w:asciiTheme="minorHAnsi" w:hAnsiTheme="minorHAnsi"/>
                <w:sz w:val="24"/>
                <w:szCs w:val="24"/>
              </w:rPr>
              <w:t>on whether the audited entity has adequately addressed the matters raised, including any wider implications</w:t>
            </w:r>
          </w:p>
        </w:tc>
      </w:tr>
    </w:tbl>
    <w:p w14:paraId="5E81916F" w14:textId="77777777" w:rsidR="00B40807" w:rsidRPr="003B1B6E" w:rsidRDefault="00B40807">
      <w:pPr>
        <w:jc w:val="both"/>
        <w:rPr>
          <w:rFonts w:asciiTheme="minorHAnsi" w:hAnsiTheme="minorHAnsi"/>
          <w:sz w:val="24"/>
          <w:szCs w:val="24"/>
        </w:rPr>
      </w:pPr>
    </w:p>
    <w:p w14:paraId="2BB53A40" w14:textId="77777777" w:rsidR="00B40807" w:rsidRDefault="00B40807">
      <w:pPr>
        <w:rPr>
          <w:rFonts w:asciiTheme="minorHAnsi" w:hAnsiTheme="minorHAnsi"/>
          <w:sz w:val="24"/>
          <w:szCs w:val="24"/>
        </w:rPr>
      </w:pPr>
    </w:p>
    <w:sectPr w:rsidR="00B40807" w:rsidSect="00E327C4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93BF" w14:textId="77777777" w:rsidR="00EA0DB7" w:rsidRDefault="00EA0DB7" w:rsidP="00734F4C">
      <w:pPr>
        <w:spacing w:line="240" w:lineRule="auto"/>
      </w:pPr>
      <w:r>
        <w:separator/>
      </w:r>
    </w:p>
  </w:endnote>
  <w:endnote w:type="continuationSeparator" w:id="0">
    <w:p w14:paraId="1EA31273" w14:textId="77777777" w:rsidR="00EA0DB7" w:rsidRDefault="00EA0DB7" w:rsidP="00734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5871D" w14:textId="77777777" w:rsidR="00EA0DB7" w:rsidRDefault="00EA0DB7" w:rsidP="00734F4C">
      <w:pPr>
        <w:spacing w:line="240" w:lineRule="auto"/>
      </w:pPr>
      <w:r>
        <w:separator/>
      </w:r>
    </w:p>
  </w:footnote>
  <w:footnote w:type="continuationSeparator" w:id="0">
    <w:p w14:paraId="60931A2F" w14:textId="77777777" w:rsidR="00EA0DB7" w:rsidRDefault="00EA0DB7" w:rsidP="00734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356759"/>
      <w:docPartObj>
        <w:docPartGallery w:val="Page Numbers (Margins)"/>
        <w:docPartUnique/>
      </w:docPartObj>
    </w:sdtPr>
    <w:sdtEndPr/>
    <w:sdtContent>
      <w:p w14:paraId="7F570C64" w14:textId="610230FE" w:rsidR="00734F4C" w:rsidRDefault="0009571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57FDFD" wp14:editId="2DF311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7AD80" w14:textId="6EAA4E14" w:rsidR="00734F4C" w:rsidRDefault="00734F4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977429"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977429"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2943F7" w:rsidRPr="002943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9774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57FDFD" id="Rectangle 1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23B7AD80" w14:textId="6EAA4E14" w:rsidR="00734F4C" w:rsidRDefault="00734F4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977429"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977429"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2943F7" w:rsidRPr="002943F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9774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07"/>
    <w:rsid w:val="00033F81"/>
    <w:rsid w:val="00050ED8"/>
    <w:rsid w:val="0009571E"/>
    <w:rsid w:val="000B2F8C"/>
    <w:rsid w:val="000F20ED"/>
    <w:rsid w:val="00102923"/>
    <w:rsid w:val="00246E10"/>
    <w:rsid w:val="002943F7"/>
    <w:rsid w:val="003B1B6E"/>
    <w:rsid w:val="004E3626"/>
    <w:rsid w:val="00516606"/>
    <w:rsid w:val="00517665"/>
    <w:rsid w:val="0052257A"/>
    <w:rsid w:val="005920EA"/>
    <w:rsid w:val="00695D7D"/>
    <w:rsid w:val="006D546E"/>
    <w:rsid w:val="00734F4C"/>
    <w:rsid w:val="00787676"/>
    <w:rsid w:val="007F7934"/>
    <w:rsid w:val="00814E1C"/>
    <w:rsid w:val="009110F1"/>
    <w:rsid w:val="00977429"/>
    <w:rsid w:val="009E12E3"/>
    <w:rsid w:val="00A01B39"/>
    <w:rsid w:val="00A627D4"/>
    <w:rsid w:val="00A67CA4"/>
    <w:rsid w:val="00A72522"/>
    <w:rsid w:val="00AB29CD"/>
    <w:rsid w:val="00B40807"/>
    <w:rsid w:val="00BA468E"/>
    <w:rsid w:val="00C457AF"/>
    <w:rsid w:val="00CB4966"/>
    <w:rsid w:val="00D5451F"/>
    <w:rsid w:val="00D863F7"/>
    <w:rsid w:val="00E327C4"/>
    <w:rsid w:val="00EA0DB7"/>
    <w:rsid w:val="00ED4C3A"/>
    <w:rsid w:val="00ED7292"/>
    <w:rsid w:val="00F62FAD"/>
    <w:rsid w:val="00FD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20149"/>
  <w15:docId w15:val="{B7A87007-39DF-4167-AA71-7F5553B8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IN" w:eastAsia="en-IN" w:bidi="hi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27C4"/>
  </w:style>
  <w:style w:type="paragraph" w:styleId="Heading1">
    <w:name w:val="heading 1"/>
    <w:basedOn w:val="Normal"/>
    <w:next w:val="Normal"/>
    <w:rsid w:val="00E327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327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327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327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327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327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327C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327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327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GridTable7Colorful-Accent11">
    <w:name w:val="Grid Table 7 Colorful - Accent 11"/>
    <w:basedOn w:val="TableNormal"/>
    <w:uiPriority w:val="52"/>
    <w:rsid w:val="00033F8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4F4C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4F4C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F4C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4F4C"/>
    <w:rPr>
      <w:rFonts w:cs="Mang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1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B39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B39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39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3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3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DG(IR)</dc:creator>
  <cp:lastModifiedBy>Saurabh Narain</cp:lastModifiedBy>
  <cp:revision>3</cp:revision>
  <dcterms:created xsi:type="dcterms:W3CDTF">2018-03-06T04:08:00Z</dcterms:created>
  <dcterms:modified xsi:type="dcterms:W3CDTF">2018-03-06T04:09:00Z</dcterms:modified>
</cp:coreProperties>
</file>